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81" w:rsidRDefault="008E0280">
      <w:pPr>
        <w:tabs>
          <w:tab w:val="left" w:pos="2194"/>
        </w:tabs>
        <w:spacing w:line="276" w:lineRule="auto"/>
        <w:jc w:val="both"/>
        <w:rPr>
          <w:rFonts w:ascii="Verdana" w:eastAsia="Calibri" w:hAnsi="Verdana" w:cs="Tahoma"/>
          <w:b/>
          <w:sz w:val="20"/>
          <w:szCs w:val="20"/>
          <w:lang w:val="pl-PL"/>
        </w:rPr>
      </w:pPr>
      <w:r>
        <w:rPr>
          <w:rFonts w:ascii="Verdana" w:eastAsia="Calibri" w:hAnsi="Verdana" w:cs="Tahoma"/>
          <w:b/>
          <w:sz w:val="20"/>
          <w:szCs w:val="20"/>
          <w:lang w:val="pl-PL"/>
        </w:rPr>
        <w:t xml:space="preserve">Stop Powodzi. Spotkanie konsultacyjne </w:t>
      </w:r>
      <w:proofErr w:type="spellStart"/>
      <w:r>
        <w:rPr>
          <w:rFonts w:ascii="Verdana" w:eastAsia="Calibri" w:hAnsi="Verdana" w:cs="Tahoma"/>
          <w:b/>
          <w:sz w:val="20"/>
          <w:szCs w:val="20"/>
          <w:lang w:val="pl-PL"/>
        </w:rPr>
        <w:t>aPZRP</w:t>
      </w:r>
      <w:proofErr w:type="spellEnd"/>
      <w:r>
        <w:rPr>
          <w:rFonts w:ascii="Verdana" w:eastAsia="Calibri" w:hAnsi="Verdana" w:cs="Tahoma"/>
          <w:b/>
          <w:sz w:val="20"/>
          <w:szCs w:val="20"/>
          <w:lang w:val="pl-PL"/>
        </w:rPr>
        <w:t xml:space="preserve"> w Koszalinie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eastAsia="Calibri" w:hAnsi="Verdana" w:cs="Tahoma"/>
          <w:sz w:val="20"/>
          <w:szCs w:val="20"/>
          <w:lang w:val="pl-PL"/>
        </w:rPr>
      </w:pPr>
    </w:p>
    <w:p w:rsidR="00917581" w:rsidRDefault="008E0280">
      <w:pPr>
        <w:tabs>
          <w:tab w:val="left" w:pos="2194"/>
        </w:tabs>
        <w:spacing w:line="276" w:lineRule="auto"/>
        <w:jc w:val="both"/>
        <w:rPr>
          <w:rFonts w:ascii="Verdana" w:eastAsia="Calibri" w:hAnsi="Verdana" w:cs="Tahoma"/>
          <w:b/>
          <w:sz w:val="20"/>
          <w:szCs w:val="20"/>
          <w:lang w:val="pl-PL"/>
        </w:rPr>
      </w:pPr>
      <w:bookmarkStart w:id="0" w:name="_GoBack"/>
      <w:r>
        <w:rPr>
          <w:rFonts w:ascii="Verdana" w:eastAsia="Calibri" w:hAnsi="Verdana" w:cs="Tahoma"/>
          <w:b/>
          <w:sz w:val="20"/>
          <w:szCs w:val="20"/>
          <w:lang w:val="pl-PL"/>
        </w:rPr>
        <w:t xml:space="preserve">Przebudowa węzła wodnego na Kanale </w:t>
      </w:r>
      <w:proofErr w:type="spellStart"/>
      <w:r>
        <w:rPr>
          <w:rFonts w:ascii="Verdana" w:eastAsia="Calibri" w:hAnsi="Verdana" w:cs="Tahoma"/>
          <w:b/>
          <w:sz w:val="20"/>
          <w:szCs w:val="20"/>
          <w:lang w:val="pl-PL"/>
        </w:rPr>
        <w:t>Jamneńskim</w:t>
      </w:r>
      <w:proofErr w:type="spellEnd"/>
      <w:r>
        <w:rPr>
          <w:rFonts w:ascii="Verdana" w:eastAsia="Calibri" w:hAnsi="Verdana" w:cs="Tahoma"/>
          <w:b/>
          <w:sz w:val="20"/>
          <w:szCs w:val="20"/>
          <w:lang w:val="pl-PL"/>
        </w:rPr>
        <w:t xml:space="preserve"> oraz ochrona przeciwpowodziowa Darłowa to najważniejsze działania projektu aktualizowanego planu zarządzania ryzykiem powodziowym (</w:t>
      </w:r>
      <w:proofErr w:type="spellStart"/>
      <w:r>
        <w:rPr>
          <w:rFonts w:ascii="Verdana" w:eastAsia="Calibri" w:hAnsi="Verdana" w:cs="Tahoma"/>
          <w:b/>
          <w:sz w:val="20"/>
          <w:szCs w:val="20"/>
          <w:lang w:val="pl-PL"/>
        </w:rPr>
        <w:t>aPZRP</w:t>
      </w:r>
      <w:proofErr w:type="spellEnd"/>
      <w:r>
        <w:rPr>
          <w:rFonts w:ascii="Verdana" w:eastAsia="Calibri" w:hAnsi="Verdana" w:cs="Tahoma"/>
          <w:b/>
          <w:sz w:val="20"/>
          <w:szCs w:val="20"/>
          <w:lang w:val="pl-PL"/>
        </w:rPr>
        <w:t xml:space="preserve">) w Regionie Dolnej Odry i Przymorza Zachodniego omawiane 12 maja podczas spotkania konsultacyjnego w Koszalinie. 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eastAsia="Calibri" w:hAnsi="Verdana" w:cs="Tahoma"/>
          <w:b/>
          <w:sz w:val="20"/>
          <w:szCs w:val="20"/>
          <w:lang w:val="pl-PL"/>
        </w:rPr>
      </w:pPr>
    </w:p>
    <w:p w:rsidR="00917581" w:rsidRPr="00EE5236" w:rsidRDefault="008E0280">
      <w:pPr>
        <w:tabs>
          <w:tab w:val="left" w:pos="2194"/>
        </w:tabs>
        <w:spacing w:line="276" w:lineRule="auto"/>
        <w:jc w:val="both"/>
        <w:rPr>
          <w:lang w:val="pl-PL"/>
        </w:rPr>
      </w:pPr>
      <w:r>
        <w:rPr>
          <w:rFonts w:ascii="Verdana" w:hAnsi="Verdana" w:cs="Tahoma"/>
          <w:i/>
          <w:sz w:val="20"/>
          <w:szCs w:val="20"/>
          <w:lang w:val="pl-PL"/>
        </w:rPr>
        <w:t xml:space="preserve">– Teren zlewni administrowanej przez zarząd w Koszalinie to obszar stale narażony na niekorzystne zjawiska hydrologiczne związane z bliskością Morza Bałtyckiego. Od lat prowadzimy tu prace mające na celu zmniejszanie zagrożenia powodziowego. Mamy także na uwadze fakt, że są to tereny intensywnie wykorzystywane turystycznie – staramy się stale zwiększać komfort prowadzenia takiej działalności. Konsultacje społeczne nieodmiennie potwierdzają jak jest to ważne dla lokalnych społeczności </w:t>
      </w:r>
      <w:r>
        <w:rPr>
          <w:rFonts w:ascii="Verdana" w:eastAsia="Calibri" w:hAnsi="Verdana" w:cs="Tahoma"/>
          <w:i/>
          <w:sz w:val="20"/>
          <w:szCs w:val="20"/>
          <w:lang w:val="pl-PL"/>
        </w:rPr>
        <w:t xml:space="preserve">– </w:t>
      </w:r>
      <w:r>
        <w:rPr>
          <w:rFonts w:ascii="Verdana" w:eastAsia="Calibri" w:hAnsi="Verdana" w:cs="Tahoma"/>
          <w:sz w:val="20"/>
          <w:szCs w:val="20"/>
          <w:lang w:val="pl-PL"/>
        </w:rPr>
        <w:t xml:space="preserve">mówił przed spotkaniem w Koszalinie Marek </w:t>
      </w:r>
      <w:proofErr w:type="spellStart"/>
      <w:r>
        <w:rPr>
          <w:rFonts w:ascii="Verdana" w:eastAsia="Calibri" w:hAnsi="Verdana" w:cs="Tahoma"/>
          <w:sz w:val="20"/>
          <w:szCs w:val="20"/>
          <w:lang w:val="pl-PL"/>
        </w:rPr>
        <w:t>Gróbarczyk</w:t>
      </w:r>
      <w:proofErr w:type="spellEnd"/>
      <w:r>
        <w:rPr>
          <w:rFonts w:ascii="Verdana" w:eastAsia="Calibri" w:hAnsi="Verdana" w:cs="Tahoma"/>
          <w:sz w:val="20"/>
          <w:szCs w:val="20"/>
          <w:lang w:val="pl-PL"/>
        </w:rPr>
        <w:t>, sekretarz stanu w Ministerstwie Infrastruktury, odpowiedzialny za sprawy związane z gospodarką wodną oraz realizację inwestycji w sektorze gospodarki morskiej i wodnej.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eastAsia="Calibri" w:hAnsi="Verdana" w:cs="Tahoma"/>
          <w:sz w:val="20"/>
          <w:szCs w:val="20"/>
          <w:lang w:val="pl-PL"/>
        </w:rPr>
      </w:pPr>
    </w:p>
    <w:p w:rsidR="00917581" w:rsidRDefault="008E0280">
      <w:pPr>
        <w:tabs>
          <w:tab w:val="left" w:pos="2194"/>
        </w:tabs>
        <w:spacing w:line="276" w:lineRule="auto"/>
        <w:jc w:val="both"/>
        <w:rPr>
          <w:rFonts w:ascii="Verdana" w:hAnsi="Verdana" w:cs="Tahoma"/>
          <w:b/>
          <w:i/>
          <w:sz w:val="20"/>
          <w:szCs w:val="20"/>
          <w:lang w:val="pl-PL"/>
        </w:rPr>
      </w:pPr>
      <w:r>
        <w:rPr>
          <w:rFonts w:ascii="Verdana" w:eastAsia="Calibri" w:hAnsi="Verdana" w:cs="Tahoma"/>
          <w:b/>
          <w:sz w:val="20"/>
          <w:szCs w:val="20"/>
          <w:lang w:val="pl-PL"/>
        </w:rPr>
        <w:t>Ważny problem dla mieszkańców Koszalina i pobliskich terenów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eastAsia="Calibri" w:hAnsi="Verdana" w:cs="Tahoma"/>
          <w:sz w:val="20"/>
          <w:szCs w:val="20"/>
          <w:lang w:val="pl-PL"/>
        </w:rPr>
      </w:pPr>
    </w:p>
    <w:p w:rsidR="00917581" w:rsidRPr="00EE5236" w:rsidRDefault="008E0280">
      <w:pPr>
        <w:tabs>
          <w:tab w:val="left" w:pos="2194"/>
        </w:tabs>
        <w:spacing w:line="276" w:lineRule="auto"/>
        <w:jc w:val="both"/>
        <w:rPr>
          <w:lang w:val="pl-PL"/>
        </w:rPr>
      </w:pPr>
      <w:r>
        <w:rPr>
          <w:rFonts w:ascii="Verdana" w:eastAsia="Calibri" w:hAnsi="Verdana" w:cs="Tahoma"/>
          <w:sz w:val="20"/>
          <w:szCs w:val="20"/>
          <w:lang w:val="pl-PL"/>
        </w:rPr>
        <w:t xml:space="preserve">Jamno jest płytkim jeziorem przybrzeżnym o dużej powierzchni (9. miejsce pod względem powierzchni w kraju i 3. w woj. zachodniopomorskim) położonym na obszarze makroregionu Pobrzeża Koszalińskiego. Otoczenie przez obszary uprawne powoduje postępującą degradację Jamna poprzez przeżyźnienie wody i zmniejszenie jej nasycenia tlenem, a w efekcie niebezpieczeństwo katastrofy ekologicznej. Jezioro posiada sztuczne połączenie z Morzem Bałtyckim poprzez Kanał </w:t>
      </w:r>
      <w:proofErr w:type="spellStart"/>
      <w:r>
        <w:rPr>
          <w:rFonts w:ascii="Verdana" w:eastAsia="Calibri" w:hAnsi="Verdana" w:cs="Tahoma"/>
          <w:sz w:val="20"/>
          <w:szCs w:val="20"/>
          <w:lang w:val="pl-PL"/>
        </w:rPr>
        <w:t>Jamneński</w:t>
      </w:r>
      <w:proofErr w:type="spellEnd"/>
      <w:r>
        <w:rPr>
          <w:rFonts w:ascii="Verdana" w:eastAsia="Calibri" w:hAnsi="Verdana" w:cs="Tahoma"/>
          <w:sz w:val="20"/>
          <w:szCs w:val="20"/>
          <w:lang w:val="pl-PL"/>
        </w:rPr>
        <w:t xml:space="preserve">. To właśnie m.in. urządzenia techniczne na nim się znajdujące wymagają przebudowy. </w:t>
      </w:r>
      <w:r>
        <w:rPr>
          <w:rFonts w:ascii="Verdana" w:eastAsia="Calibri" w:hAnsi="Verdana" w:cs="Tahoma"/>
          <w:i/>
          <w:sz w:val="20"/>
          <w:szCs w:val="20"/>
          <w:lang w:val="pl-PL"/>
        </w:rPr>
        <w:t>– Głównym celem przebudowy węzła wodnego jest zwiększenie stopnia bezpieczeństwa powodziowego mieszkańców Koszalina oraz miejscowości i terenów przyległych do jeziora Jamno. Bardzo ważne jest także spełnienie celów środowiskowych – mamy nadzieję na przywrócenie naturalnych wlewów wody morskiej do zbiornika i znaczne ograniczenie postępującej od lat eutrofizacji tego zbiornika –</w:t>
      </w:r>
      <w:r>
        <w:rPr>
          <w:rFonts w:ascii="Verdana" w:eastAsia="Calibri" w:hAnsi="Verdana" w:cs="Tahoma"/>
          <w:sz w:val="20"/>
          <w:szCs w:val="20"/>
          <w:lang w:val="pl-PL"/>
        </w:rPr>
        <w:t xml:space="preserve"> powiedział </w:t>
      </w:r>
      <w:r>
        <w:rPr>
          <w:rFonts w:ascii="Verdana" w:eastAsia="Calibri" w:hAnsi="Verdana" w:cs="Times New Roman"/>
          <w:sz w:val="20"/>
          <w:szCs w:val="20"/>
          <w:lang w:val="pl-PL"/>
        </w:rPr>
        <w:t>Marek Duklanowski, dyrektor Państwowego Gospodarstwa Wodnego Wody Polskie Regionalnego Zarządu Gospodarki Wodnej w Szczecinie.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</w:p>
    <w:p w:rsidR="00917581" w:rsidRDefault="008E0280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  <w:r>
        <w:rPr>
          <w:rFonts w:ascii="Verdana" w:eastAsia="Calibri" w:hAnsi="Verdana" w:cs="Times New Roman"/>
          <w:b/>
          <w:sz w:val="20"/>
          <w:szCs w:val="20"/>
          <w:lang w:val="pl-PL"/>
        </w:rPr>
        <w:t>Ciągłe zmniejszanie zagrożenia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</w:p>
    <w:p w:rsidR="00917581" w:rsidRDefault="008E0280">
      <w:pPr>
        <w:tabs>
          <w:tab w:val="left" w:pos="2194"/>
        </w:tabs>
        <w:spacing w:line="276" w:lineRule="auto"/>
        <w:jc w:val="both"/>
        <w:rPr>
          <w:rFonts w:ascii="Verdana" w:eastAsia="Calibri" w:hAnsi="Verdana" w:cs="Tahoma"/>
          <w:sz w:val="20"/>
          <w:szCs w:val="20"/>
          <w:lang w:val="pl-PL"/>
        </w:rPr>
      </w:pPr>
      <w:r>
        <w:rPr>
          <w:rFonts w:ascii="Verdana" w:eastAsia="Calibri" w:hAnsi="Verdana" w:cs="Times New Roman"/>
          <w:sz w:val="20"/>
          <w:szCs w:val="20"/>
          <w:lang w:val="pl-PL"/>
        </w:rPr>
        <w:t xml:space="preserve">Eliminacja zakwitu sinic, które są najbardziej widocznym wskaźnikiem niebezpiecznych procesów zachodzących w jeziorze, to nie jedyny problem tego rejonu Przymorza Zachodniego. Bardzo ważną inwestycją jest regulacja przepływu wód rzeki Regi na odcinku Kłodkowo – Gąbin poprzez retencję dolinową oraz </w:t>
      </w:r>
      <w:r w:rsidR="00C9235F">
        <w:rPr>
          <w:rFonts w:ascii="Verdana" w:eastAsia="Calibri" w:hAnsi="Verdana" w:cs="Times New Roman"/>
          <w:sz w:val="20"/>
          <w:szCs w:val="20"/>
          <w:lang w:val="pl-PL"/>
        </w:rPr>
        <w:t xml:space="preserve">budowę </w:t>
      </w:r>
      <w:r>
        <w:rPr>
          <w:rFonts w:ascii="Verdana" w:eastAsia="Calibri" w:hAnsi="Verdana" w:cs="Times New Roman"/>
          <w:sz w:val="20"/>
          <w:szCs w:val="20"/>
          <w:lang w:val="pl-PL"/>
        </w:rPr>
        <w:t xml:space="preserve">wałów przeciwpowodziowych na rzece koło Gąbina (koszt to w sumie 39 mln zł). Rega to jedna z największych rzek przymorza, intensywnie wykorzystywana turystycznie (spływy kajakowe) oraz znana jako bardzo atrakcyjne tereny wędkarskie (dominuje pstrąg potokowy, a do dolnej Regi wpływają na tarło takie ryby anadromiczne jak: łosoś i troć wędrowna). W obszarze problemowym Polnica-Sianów zaplanowano retencję w zlewni rzek </w:t>
      </w:r>
      <w:proofErr w:type="spellStart"/>
      <w:r>
        <w:rPr>
          <w:rFonts w:ascii="Verdana" w:eastAsia="Calibri" w:hAnsi="Verdana" w:cs="Times New Roman"/>
          <w:sz w:val="20"/>
          <w:szCs w:val="20"/>
          <w:lang w:val="pl-PL"/>
        </w:rPr>
        <w:t>Uniesta</w:t>
      </w:r>
      <w:proofErr w:type="spellEnd"/>
      <w:r>
        <w:rPr>
          <w:rFonts w:ascii="Verdana" w:eastAsia="Calibri" w:hAnsi="Verdana" w:cs="Times New Roman"/>
          <w:sz w:val="20"/>
          <w:szCs w:val="20"/>
          <w:lang w:val="pl-PL"/>
        </w:rPr>
        <w:t xml:space="preserve"> i Polnica.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val="pl-PL"/>
        </w:rPr>
        <w:t xml:space="preserve">Poprawa warunków przepływu wody w obrębie miasta i gminy Darłowo wraz z zabezpieczeniem przeciwpowodziowym to z kolei inwestycja w obszarze problemowym Wieprza-Darłowo. Stałej uwagi wymagają także istniejące już urządzenia hydrotechniczne i obwałowania </w:t>
      </w:r>
      <w:r>
        <w:rPr>
          <w:rFonts w:ascii="Verdana" w:eastAsia="Calibri" w:hAnsi="Verdana" w:cs="Times New Roman"/>
          <w:sz w:val="20"/>
          <w:szCs w:val="20"/>
          <w:lang w:val="pl-PL"/>
        </w:rPr>
        <w:lastRenderedPageBreak/>
        <w:t xml:space="preserve">tutejszych zbiorników wodnych i rzek. W </w:t>
      </w:r>
      <w:proofErr w:type="spellStart"/>
      <w:r>
        <w:rPr>
          <w:rFonts w:ascii="Verdana" w:eastAsia="Calibri" w:hAnsi="Verdana" w:cs="Times New Roman"/>
          <w:sz w:val="20"/>
          <w:szCs w:val="20"/>
          <w:lang w:val="pl-PL"/>
        </w:rPr>
        <w:t>aPZRP</w:t>
      </w:r>
      <w:proofErr w:type="spellEnd"/>
      <w:r>
        <w:rPr>
          <w:rFonts w:ascii="Verdana" w:eastAsia="Calibri" w:hAnsi="Verdana" w:cs="Times New Roman"/>
          <w:sz w:val="20"/>
          <w:szCs w:val="20"/>
          <w:lang w:val="pl-PL"/>
        </w:rPr>
        <w:t xml:space="preserve"> zaplanowano 33 działania przeciwpowodziowe dla całego regionu. 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eastAsia="Calibri" w:hAnsi="Verdana" w:cs="Tahoma"/>
          <w:sz w:val="20"/>
          <w:szCs w:val="20"/>
          <w:lang w:val="pl-PL"/>
        </w:rPr>
      </w:pPr>
    </w:p>
    <w:p w:rsidR="00917581" w:rsidRDefault="008E0280">
      <w:pPr>
        <w:tabs>
          <w:tab w:val="left" w:pos="2194"/>
        </w:tabs>
        <w:spacing w:line="276" w:lineRule="auto"/>
        <w:jc w:val="both"/>
        <w:rPr>
          <w:rFonts w:ascii="Verdana" w:hAnsi="Verdana" w:cs="Tahoma"/>
          <w:b/>
          <w:sz w:val="20"/>
          <w:szCs w:val="20"/>
          <w:lang w:val="pl-PL"/>
        </w:rPr>
      </w:pPr>
      <w:r>
        <w:rPr>
          <w:rFonts w:ascii="Verdana" w:hAnsi="Verdana" w:cs="Tahoma"/>
          <w:b/>
          <w:sz w:val="20"/>
          <w:szCs w:val="20"/>
          <w:lang w:val="pl-PL"/>
        </w:rPr>
        <w:t>Plany na 6 lat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hAnsi="Verdana" w:cs="Tahoma"/>
          <w:sz w:val="20"/>
          <w:szCs w:val="20"/>
          <w:lang w:val="pl-PL"/>
        </w:rPr>
      </w:pPr>
    </w:p>
    <w:p w:rsidR="00917581" w:rsidRPr="00EE5236" w:rsidRDefault="008E0280">
      <w:pPr>
        <w:tabs>
          <w:tab w:val="left" w:pos="2194"/>
        </w:tabs>
        <w:spacing w:line="276" w:lineRule="auto"/>
        <w:jc w:val="both"/>
        <w:rPr>
          <w:lang w:val="pl-PL"/>
        </w:rPr>
      </w:pPr>
      <w:r>
        <w:rPr>
          <w:rFonts w:ascii="Verdana" w:hAnsi="Verdana" w:cs="Tahoma"/>
          <w:sz w:val="20"/>
          <w:szCs w:val="20"/>
          <w:lang w:val="pl-PL"/>
        </w:rPr>
        <w:t>Aktualizowane obecnie plany zarządzania ryzykiem powodziowym (PZRP) to, obok planów gospodarowania wodami i planu przeciwdziałania skutkom suszy, trzeci z planistycznych dokumentów systematyzujących gospodarkę wodną w Polsce. Przeglądy i aktualizacje PZRP przeprowadza się co 6 lat w sposób skoordynowany z przeglądami planów gospodarowania wodami na obszarze dorzecza. PZRP są końcowym, czwartym dokumentem planistycznym wymaganym przez Dyrektywę Powodziową. Pierwszym etapem prac w procesie przygotowania PZRP jest wykonanie wstępnej oceny ryzyka powodziowego (WORP), której celem jest wyznaczenie obszarów narażonych na niebezpieczeństwo powodzi</w:t>
      </w:r>
      <w:r w:rsidR="001D6ADA">
        <w:rPr>
          <w:rFonts w:ascii="Verdana" w:hAnsi="Verdana" w:cs="Tahoma"/>
          <w:sz w:val="20"/>
          <w:szCs w:val="20"/>
          <w:lang w:val="pl-PL"/>
        </w:rPr>
        <w:t>,</w:t>
      </w:r>
      <w:r>
        <w:rPr>
          <w:rFonts w:ascii="Verdana" w:hAnsi="Verdana" w:cs="Tahoma"/>
          <w:sz w:val="20"/>
          <w:szCs w:val="20"/>
          <w:lang w:val="pl-PL"/>
        </w:rPr>
        <w:t xml:space="preserve"> czyli </w:t>
      </w:r>
      <w:r w:rsidR="001D6ADA">
        <w:rPr>
          <w:rFonts w:ascii="Verdana" w:hAnsi="Verdana" w:cs="Tahoma"/>
          <w:sz w:val="20"/>
          <w:szCs w:val="20"/>
          <w:lang w:val="pl-PL"/>
        </w:rPr>
        <w:t>takich</w:t>
      </w:r>
      <w:r>
        <w:rPr>
          <w:rFonts w:ascii="Verdana" w:hAnsi="Verdana" w:cs="Tahoma"/>
          <w:sz w:val="20"/>
          <w:szCs w:val="20"/>
          <w:lang w:val="pl-PL"/>
        </w:rPr>
        <w:t xml:space="preserve"> na których istnieje znaczące ryzyko powodziowe lub na których wystąpienie dużego ryzyka jest prawdopodobne</w:t>
      </w:r>
      <w:r w:rsidR="001D6ADA">
        <w:rPr>
          <w:rFonts w:ascii="Verdana" w:hAnsi="Verdana" w:cs="Tahoma"/>
          <w:sz w:val="20"/>
          <w:szCs w:val="20"/>
          <w:lang w:val="pl-PL"/>
        </w:rPr>
        <w:t>.</w:t>
      </w:r>
      <w:r>
        <w:rPr>
          <w:rFonts w:ascii="Verdana" w:hAnsi="Verdana" w:cs="Tahoma"/>
          <w:sz w:val="20"/>
          <w:szCs w:val="20"/>
          <w:lang w:val="pl-PL"/>
        </w:rPr>
        <w:t xml:space="preserve"> Kolejnym etapem jest przygotowanie map zagrożenia powodziowego (MZP) oraz map ryzyka powodziowego (MRP) dla tych obszarów, które precyzyjnie wskazują zasięgi stref zalewowych. 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hAnsi="Verdana" w:cs="Tahoma"/>
          <w:sz w:val="20"/>
          <w:szCs w:val="20"/>
          <w:lang w:val="pl-PL"/>
        </w:rPr>
      </w:pPr>
    </w:p>
    <w:p w:rsidR="00917581" w:rsidRDefault="008E0280">
      <w:pPr>
        <w:tabs>
          <w:tab w:val="left" w:pos="2194"/>
        </w:tabs>
        <w:spacing w:line="276" w:lineRule="auto"/>
        <w:jc w:val="both"/>
        <w:rPr>
          <w:rFonts w:ascii="Verdana" w:hAnsi="Verdana" w:cs="Tahoma"/>
          <w:b/>
          <w:sz w:val="20"/>
          <w:szCs w:val="20"/>
          <w:lang w:val="pl-PL"/>
        </w:rPr>
      </w:pPr>
      <w:r>
        <w:rPr>
          <w:rFonts w:ascii="Verdana" w:hAnsi="Verdana" w:cs="Tahoma"/>
          <w:b/>
          <w:sz w:val="20"/>
          <w:szCs w:val="20"/>
          <w:lang w:val="pl-PL"/>
        </w:rPr>
        <w:t>Konsultacje społeczne w całej Polsce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hAnsi="Verdana" w:cs="Tahoma"/>
          <w:sz w:val="20"/>
          <w:szCs w:val="20"/>
          <w:lang w:val="pl-PL"/>
        </w:rPr>
      </w:pPr>
    </w:p>
    <w:p w:rsidR="00917581" w:rsidRPr="00EE5236" w:rsidRDefault="008E0280">
      <w:pPr>
        <w:tabs>
          <w:tab w:val="left" w:pos="2194"/>
        </w:tabs>
        <w:spacing w:line="276" w:lineRule="auto"/>
        <w:jc w:val="both"/>
        <w:rPr>
          <w:lang w:val="pl-PL"/>
        </w:rPr>
      </w:pPr>
      <w:r>
        <w:rPr>
          <w:rFonts w:ascii="Verdana" w:hAnsi="Verdana" w:cs="Tahoma"/>
          <w:sz w:val="20"/>
          <w:szCs w:val="20"/>
          <w:lang w:val="pl-PL"/>
        </w:rPr>
        <w:t xml:space="preserve">Konsultacje społeczne projektów aktualizacji planów zarządzania ryzykiem powodziowym ogłoszone 22 grudnia 2020 r. przez Ministra Infrastruktury, koordynowane są przez Państwowe Gospodarstwo Wodne Wody Polskie. Spotkania konsultacyjne zaplanowano w 28 miastach. </w:t>
      </w:r>
      <w:r>
        <w:rPr>
          <w:rFonts w:ascii="Verdana" w:hAnsi="Verdana"/>
          <w:sz w:val="20"/>
          <w:szCs w:val="20"/>
          <w:lang w:val="pl-PL"/>
        </w:rPr>
        <w:t xml:space="preserve">Spotkanie w Koszalinie było 24. debatą dedykowaną </w:t>
      </w:r>
      <w:proofErr w:type="spellStart"/>
      <w:r>
        <w:rPr>
          <w:rFonts w:ascii="Verdana" w:hAnsi="Verdana"/>
          <w:sz w:val="20"/>
          <w:szCs w:val="20"/>
          <w:lang w:val="pl-PL"/>
        </w:rPr>
        <w:t>aPZRP</w:t>
      </w:r>
      <w:proofErr w:type="spellEnd"/>
      <w:r>
        <w:rPr>
          <w:rFonts w:ascii="Verdana" w:hAnsi="Verdana"/>
          <w:sz w:val="20"/>
          <w:szCs w:val="20"/>
          <w:lang w:val="pl-PL"/>
        </w:rPr>
        <w:t xml:space="preserve">. </w:t>
      </w:r>
      <w:r w:rsidRPr="00EE5236">
        <w:rPr>
          <w:rFonts w:ascii="Verdana" w:hAnsi="Verdana"/>
          <w:sz w:val="20"/>
          <w:szCs w:val="20"/>
          <w:lang w:val="pl-PL"/>
        </w:rPr>
        <w:t xml:space="preserve">Ze względu na duże zainteresowanie i konieczność szczegółowego omówienia </w:t>
      </w:r>
      <w:r w:rsidR="00C9235F">
        <w:rPr>
          <w:rFonts w:ascii="Verdana" w:hAnsi="Verdana"/>
          <w:sz w:val="20"/>
          <w:szCs w:val="20"/>
          <w:lang w:val="pl-PL"/>
        </w:rPr>
        <w:t>zagadnień dotyczących zarządzania ryzykiem powodziowym</w:t>
      </w:r>
      <w:r w:rsidR="00C9235F" w:rsidRPr="00EE5236">
        <w:rPr>
          <w:rFonts w:ascii="Verdana" w:hAnsi="Verdana"/>
          <w:sz w:val="20"/>
          <w:szCs w:val="20"/>
          <w:lang w:val="pl-PL"/>
        </w:rPr>
        <w:t xml:space="preserve"> </w:t>
      </w:r>
      <w:r w:rsidRPr="00EE5236">
        <w:rPr>
          <w:rFonts w:ascii="Verdana" w:hAnsi="Verdana"/>
          <w:sz w:val="20"/>
          <w:szCs w:val="20"/>
          <w:lang w:val="pl-PL"/>
        </w:rPr>
        <w:t xml:space="preserve">od strony morza, Minister Infrastruktury przedłużył konsultacje </w:t>
      </w:r>
      <w:proofErr w:type="spellStart"/>
      <w:r w:rsidRPr="00EE5236">
        <w:rPr>
          <w:rFonts w:ascii="Verdana" w:hAnsi="Verdana"/>
          <w:sz w:val="20"/>
          <w:szCs w:val="20"/>
          <w:lang w:val="pl-PL"/>
        </w:rPr>
        <w:t>aPZRP</w:t>
      </w:r>
      <w:proofErr w:type="spellEnd"/>
      <w:r w:rsidRPr="00EE5236">
        <w:rPr>
          <w:rFonts w:ascii="Verdana" w:hAnsi="Verdana"/>
          <w:sz w:val="20"/>
          <w:szCs w:val="20"/>
          <w:lang w:val="pl-PL"/>
        </w:rPr>
        <w:t xml:space="preserve"> do 22 września 2021</w:t>
      </w:r>
      <w:r w:rsidR="00294B09">
        <w:rPr>
          <w:rFonts w:ascii="Verdana" w:hAnsi="Verdana"/>
          <w:sz w:val="20"/>
          <w:szCs w:val="20"/>
          <w:lang w:val="pl-PL"/>
        </w:rPr>
        <w:t xml:space="preserve"> </w:t>
      </w:r>
      <w:r w:rsidRPr="00EE5236">
        <w:rPr>
          <w:rFonts w:ascii="Verdana" w:hAnsi="Verdana"/>
          <w:sz w:val="20"/>
          <w:szCs w:val="20"/>
          <w:lang w:val="pl-PL"/>
        </w:rPr>
        <w:t xml:space="preserve">r. </w:t>
      </w:r>
      <w:r>
        <w:rPr>
          <w:rFonts w:ascii="Verdana" w:hAnsi="Verdana" w:cs="Tahoma"/>
          <w:sz w:val="20"/>
          <w:szCs w:val="20"/>
          <w:lang w:val="pl-PL"/>
        </w:rPr>
        <w:t xml:space="preserve">Zasadniczą część omawianych w trakcie debat planów stanowi </w:t>
      </w:r>
      <w:r w:rsidR="00EE5236">
        <w:rPr>
          <w:rFonts w:ascii="Verdana" w:hAnsi="Verdana" w:cs="Tahoma"/>
          <w:sz w:val="20"/>
          <w:szCs w:val="20"/>
          <w:lang w:val="pl-PL"/>
        </w:rPr>
        <w:t>lista</w:t>
      </w:r>
      <w:r>
        <w:rPr>
          <w:rFonts w:ascii="Verdana" w:hAnsi="Verdana" w:cs="Tahoma"/>
          <w:sz w:val="20"/>
          <w:szCs w:val="20"/>
          <w:lang w:val="pl-PL"/>
        </w:rPr>
        <w:t xml:space="preserve"> działań na lata 2022-2027 dla poszczególnych obszarów dorzeczy i regionów wodnych. To łącznie ponad 1100 pozycji dla dorzeczy Wisły, Odry, Łaby, Dunaju, Niemna i Pregoły. Planowany koszt koniecznych nakładów to ponad 29 mld zł. Uzupełnione o wnioski i uwagi, zgłoszone w trakcie konsultacji, projekty aktualizowanych planów zostaną przyjęte w drodze rozporządzeń ministra właściwego ds. gospodarki wodnej – Ministra Infrastruktury. </w:t>
      </w:r>
      <w:r>
        <w:rPr>
          <w:rFonts w:ascii="Verdana" w:eastAsia="Calibri" w:hAnsi="Verdana" w:cs="Tahoma"/>
          <w:sz w:val="20"/>
          <w:szCs w:val="20"/>
          <w:lang w:val="pl-PL"/>
        </w:rPr>
        <w:t xml:space="preserve">Z uwagi na obostrzenia pandemiczne spotkania odbywają się w trybie online. </w:t>
      </w:r>
    </w:p>
    <w:p w:rsidR="00917581" w:rsidRDefault="00917581">
      <w:pPr>
        <w:tabs>
          <w:tab w:val="left" w:pos="2194"/>
        </w:tabs>
        <w:spacing w:line="276" w:lineRule="auto"/>
        <w:jc w:val="both"/>
        <w:rPr>
          <w:rFonts w:ascii="Verdana" w:eastAsia="Calibri" w:hAnsi="Verdana" w:cs="Tahoma"/>
          <w:sz w:val="20"/>
          <w:szCs w:val="20"/>
          <w:lang w:val="pl-PL"/>
        </w:rPr>
      </w:pPr>
    </w:p>
    <w:p w:rsidR="00917581" w:rsidRPr="00EE5236" w:rsidRDefault="008E0280">
      <w:pPr>
        <w:spacing w:line="276" w:lineRule="auto"/>
        <w:jc w:val="both"/>
        <w:rPr>
          <w:lang w:val="pl-PL"/>
        </w:rPr>
      </w:pPr>
      <w:r>
        <w:rPr>
          <w:rFonts w:ascii="Verdana" w:hAnsi="Verdana" w:cs="Tahoma"/>
          <w:sz w:val="20"/>
          <w:szCs w:val="20"/>
          <w:lang w:val="pl-PL"/>
        </w:rPr>
        <w:t xml:space="preserve">W trwających konsultacjach społecznych odbyły się dotąd spotkania w Krakowie, Nowym Sączu, Gliwicach, Pszczynie, Gorzowie Wlkp., Poznaniu, Kaliszu, Bydgoszczy, Pile, Rzeszowie, Jaśle, Stalowej Woli, Białymstoku, Olsztynie, Włocławku, Radomiu, Warszawie, Lublinie, Dęblinie, Wrocławiu, Zgorzelcu, Nysie i Szczecinie. Więcej informacji o </w:t>
      </w:r>
      <w:proofErr w:type="spellStart"/>
      <w:r>
        <w:rPr>
          <w:rFonts w:ascii="Verdana" w:hAnsi="Verdana" w:cs="Tahoma"/>
          <w:sz w:val="20"/>
          <w:szCs w:val="20"/>
          <w:lang w:val="pl-PL"/>
        </w:rPr>
        <w:t>aPZRP</w:t>
      </w:r>
      <w:proofErr w:type="spellEnd"/>
      <w:r>
        <w:rPr>
          <w:rFonts w:ascii="Verdana" w:hAnsi="Verdana" w:cs="Tahoma"/>
          <w:sz w:val="20"/>
          <w:szCs w:val="20"/>
          <w:lang w:val="pl-PL"/>
        </w:rPr>
        <w:t xml:space="preserve">, konsultowanych dokumentach oraz konsultacjach społecznych jest dostępnych na stronie </w:t>
      </w:r>
      <w:hyperlink r:id="rId10">
        <w:r>
          <w:rPr>
            <w:rStyle w:val="czeinternetowe"/>
            <w:rFonts w:ascii="Verdana" w:eastAsia="Calibri" w:hAnsi="Verdana" w:cs="Tahoma"/>
            <w:sz w:val="20"/>
            <w:szCs w:val="20"/>
            <w:lang w:val="pl-PL"/>
          </w:rPr>
          <w:t>www.stoppowodzi.pl</w:t>
        </w:r>
      </w:hyperlink>
      <w:bookmarkEnd w:id="0"/>
    </w:p>
    <w:sectPr w:rsidR="00917581" w:rsidRPr="00EE5236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68" w:rsidRDefault="00B81168">
      <w:r>
        <w:separator/>
      </w:r>
    </w:p>
  </w:endnote>
  <w:endnote w:type="continuationSeparator" w:id="0">
    <w:p w:rsidR="00B81168" w:rsidRDefault="00B8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81" w:rsidRDefault="00917581">
    <w:pPr>
      <w:pStyle w:val="Stopka"/>
    </w:pPr>
  </w:p>
  <w:p w:rsidR="00917581" w:rsidRDefault="00917581">
    <w:pPr>
      <w:pStyle w:val="Stopka"/>
    </w:pPr>
  </w:p>
  <w:p w:rsidR="00917581" w:rsidRDefault="008E0280">
    <w:pPr>
      <w:pStyle w:val="Stopka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" behindDoc="1" locked="0" layoutInCell="1" allowOverlap="1" wp14:anchorId="41764A68">
              <wp:simplePos x="0" y="0"/>
              <wp:positionH relativeFrom="column">
                <wp:posOffset>43180</wp:posOffset>
              </wp:positionH>
              <wp:positionV relativeFrom="paragraph">
                <wp:posOffset>-264795</wp:posOffset>
              </wp:positionV>
              <wp:extent cx="6099175" cy="50419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8400" cy="5036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7" name="Picture 1"/>
                        <pic:cNvPicPr/>
                      </pic:nvPicPr>
                      <pic:blipFill>
                        <a:blip r:embed="rId1"/>
                        <a:srcRect l="1972" r="72261"/>
                        <a:stretch/>
                      </pic:blipFill>
                      <pic:spPr>
                        <a:xfrm>
                          <a:off x="0" y="0"/>
                          <a:ext cx="995040" cy="503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/>
                      </pic:nvPicPr>
                      <pic:blipFill>
                        <a:blip r:embed="rId1"/>
                        <a:srcRect l="68341" r="2022"/>
                        <a:stretch/>
                      </pic:blipFill>
                      <pic:spPr>
                        <a:xfrm>
                          <a:off x="4953600" y="0"/>
                          <a:ext cx="114480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/>
                      </pic:nvPicPr>
                      <pic:blipFill>
                        <a:blip r:embed="rId1"/>
                        <a:srcRect l="33560" r="37496"/>
                        <a:stretch/>
                      </pic:blipFill>
                      <pic:spPr>
                        <a:xfrm>
                          <a:off x="2486160" y="0"/>
                          <a:ext cx="111744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upa 6" style="position:absolute;margin-left:3.4pt;margin-top:-20.85pt;width:480.2pt;height:39.65pt" coordorigin="68,-417" coordsize="9604,793">
              <v:rect id="shape_0" ID="Picture 1" stroked="f" style="position:absolute;left:68;top:-417;width:1566;height:792">
                <v:imagedata r:id="rId2" o:detectmouseclick="t"/>
                <w10:wrap type="none"/>
                <v:stroke color="#3465a4" joinstyle="round" endcap="flat"/>
              </v:rect>
              <v:rect id="shape_0" ID="Picture 3" stroked="f" style="position:absolute;left:7869;top:-417;width:1802;height:791">
                <v:imagedata r:id="rId2" o:detectmouseclick="t"/>
                <w10:wrap type="none"/>
                <v:stroke color="#3465a4" joinstyle="round" endcap="flat"/>
              </v:rect>
              <v:rect id="shape_0" ID="Picture 4" stroked="f" style="position:absolute;left:3983;top:-417;width:1759;height:791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68" w:rsidRDefault="00B81168">
      <w:r>
        <w:separator/>
      </w:r>
    </w:p>
  </w:footnote>
  <w:footnote w:type="continuationSeparator" w:id="0">
    <w:p w:rsidR="00B81168" w:rsidRDefault="00B8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81" w:rsidRDefault="008E0280">
    <w:pPr>
      <w:pStyle w:val="Nagwek"/>
      <w:tabs>
        <w:tab w:val="right" w:pos="9639"/>
      </w:tabs>
      <w:jc w:val="right"/>
      <w:rPr>
        <w:rFonts w:ascii="Verdana" w:hAnsi="Verdana" w:cs="Calibri"/>
        <w:i/>
        <w:sz w:val="16"/>
        <w:szCs w:val="16"/>
        <w:lang w:val="pl-PL"/>
      </w:rPr>
    </w:pPr>
    <w:r>
      <w:rPr>
        <w:rFonts w:ascii="Verdana" w:hAnsi="Verdana" w:cs="Calibri"/>
        <w:i/>
        <w:noProof/>
        <w:sz w:val="16"/>
        <w:szCs w:val="16"/>
        <w:lang w:val="pl-PL" w:eastAsia="pl-PL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309DED9D">
              <wp:simplePos x="0" y="0"/>
              <wp:positionH relativeFrom="column">
                <wp:posOffset>3743960</wp:posOffset>
              </wp:positionH>
              <wp:positionV relativeFrom="paragraph">
                <wp:posOffset>453390</wp:posOffset>
              </wp:positionV>
              <wp:extent cx="2573020" cy="221615"/>
              <wp:effectExtent l="0" t="0" r="0" b="7620"/>
              <wp:wrapNone/>
              <wp:docPr id="1" name="L-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572560" cy="221040"/>
                      </a:xfrm>
                      <a:prstGeom prst="corner">
                        <a:avLst>
                          <a:gd name="adj1" fmla="val 12192"/>
                          <a:gd name="adj2" fmla="val 14292"/>
                        </a:avLst>
                      </a:prstGeom>
                      <a:solidFill>
                        <a:srgbClr val="DC6E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rFonts w:ascii="Verdana" w:hAnsi="Verdana" w:cs="Calibri"/>
        <w:i/>
        <w:noProof/>
        <w:sz w:val="16"/>
        <w:szCs w:val="16"/>
        <w:lang w:val="pl-PL" w:eastAsia="pl-PL"/>
      </w:rPr>
      <w:drawing>
        <wp:anchor distT="0" distB="6350" distL="114300" distR="115570" simplePos="0" relativeHeight="7" behindDoc="1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-431165</wp:posOffset>
          </wp:positionV>
          <wp:extent cx="7200265" cy="889000"/>
          <wp:effectExtent l="0" t="0" r="0" b="0"/>
          <wp:wrapTopAndBottom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581" w:rsidRDefault="008E0280">
    <w:pPr>
      <w:pStyle w:val="Nagwek"/>
      <w:tabs>
        <w:tab w:val="right" w:pos="9639"/>
      </w:tabs>
      <w:jc w:val="right"/>
      <w:rPr>
        <w:rFonts w:ascii="Verdana" w:hAnsi="Verdana" w:cs="Calibri"/>
        <w:i/>
        <w:sz w:val="15"/>
        <w:szCs w:val="15"/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3" behindDoc="1" locked="0" layoutInCell="1" allowOverlap="1" wp14:anchorId="28FBE798">
              <wp:simplePos x="0" y="0"/>
              <wp:positionH relativeFrom="column">
                <wp:posOffset>1842770</wp:posOffset>
              </wp:positionH>
              <wp:positionV relativeFrom="paragraph">
                <wp:posOffset>117475</wp:posOffset>
              </wp:positionV>
              <wp:extent cx="1727200" cy="220345"/>
              <wp:effectExtent l="14605" t="0" r="20955" b="15240"/>
              <wp:wrapNone/>
              <wp:docPr id="3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726560" cy="219600"/>
                        <a:chOff x="0" y="0"/>
                        <a:chExt cx="0" cy="0"/>
                      </a:xfrm>
                    </wpg:grpSpPr>
                    <wps:wsp>
                      <wps:cNvPr id="4" name="Dowolny kształt 4"/>
                      <wps:cNvSpPr/>
                      <wps:spPr>
                        <a:xfrm rot="10800000">
                          <a:off x="0" y="0"/>
                          <a:ext cx="21852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064" h="297064">
                              <a:moveTo>
                                <a:pt x="148532" y="0"/>
                              </a:moveTo>
                              <a:cubicBezTo>
                                <a:pt x="230564" y="0"/>
                                <a:pt x="297064" y="66500"/>
                                <a:pt x="297064" y="148532"/>
                              </a:cubicBezTo>
                              <a:lnTo>
                                <a:pt x="148532" y="148532"/>
                              </a:lnTo>
                              <a:lnTo>
                                <a:pt x="148532" y="0"/>
                              </a:lnTo>
                              <a:close/>
                              <a:moveTo>
                                <a:pt x="148532" y="0"/>
                              </a:moveTo>
                              <a:cubicBezTo>
                                <a:pt x="230564" y="0"/>
                                <a:pt x="297064" y="66500"/>
                                <a:pt x="297064" y="148532"/>
                              </a:cubicBez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DC6E1E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Łącznik prosty 5"/>
                      <wps:cNvCnPr/>
                      <wps:spPr>
                        <a:xfrm>
                          <a:off x="104040" y="219600"/>
                          <a:ext cx="1622520" cy="0"/>
                        </a:xfrm>
                        <a:prstGeom prst="line">
                          <a:avLst/>
                        </a:prstGeom>
                        <a:ln w="28080">
                          <a:solidFill>
                            <a:srgbClr val="DC6E1E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11" style="position:absolute;margin-left:145.05pt;margin-top:9.2pt;width:135.95pt;height:17.25pt" coordorigin="2901,184" coordsize="2719,345">
              <v:line id="shape_0" from="3066,531" to="5620,531" ID="Straight Connector 10" stroked="t" style="position:absolute">
                <v:stroke color="#dc6e1e" weight="28080" joinstyle="miter" endcap="flat"/>
                <v:fill o:detectmouseclick="t" on="false"/>
              </v:line>
            </v:group>
          </w:pict>
        </mc:Fallback>
      </mc:AlternateContent>
    </w:r>
    <w:r>
      <w:rPr>
        <w:rFonts w:ascii="Verdana" w:hAnsi="Verdana" w:cs="Calibri"/>
        <w:i/>
        <w:sz w:val="15"/>
        <w:szCs w:val="15"/>
        <w:lang w:val="pl-PL"/>
      </w:rPr>
      <w:t>Projekt: Przegląd i aktualizacja planów zarządzania ryzykiem powodziowym</w:t>
    </w:r>
  </w:p>
  <w:p w:rsidR="00917581" w:rsidRDefault="008E0280">
    <w:pPr>
      <w:pStyle w:val="Nagwek"/>
      <w:tabs>
        <w:tab w:val="right" w:pos="9639"/>
      </w:tabs>
      <w:jc w:val="right"/>
      <w:rPr>
        <w:rFonts w:ascii="Verdana" w:hAnsi="Verdana" w:cs="Calibri"/>
        <w:i/>
        <w:sz w:val="15"/>
        <w:szCs w:val="15"/>
      </w:rPr>
    </w:pPr>
    <w:r>
      <w:rPr>
        <w:rFonts w:ascii="Verdana" w:hAnsi="Verdana" w:cs="Calibri"/>
        <w:i/>
        <w:sz w:val="15"/>
        <w:szCs w:val="15"/>
      </w:rPr>
      <w:t>Nr projektu: POIS.02.01.00-00-0001/19</w:t>
    </w:r>
  </w:p>
  <w:p w:rsidR="00917581" w:rsidRDefault="00917581">
    <w:pPr>
      <w:pStyle w:val="Nagwek"/>
      <w:tabs>
        <w:tab w:val="right" w:pos="9639"/>
      </w:tabs>
      <w:jc w:val="right"/>
      <w:rPr>
        <w:rFonts w:ascii="Verdana" w:hAnsi="Verdana" w:cs="Calibri"/>
        <w:i/>
        <w:sz w:val="15"/>
        <w:szCs w:val="15"/>
      </w:rPr>
    </w:pPr>
  </w:p>
  <w:p w:rsidR="00917581" w:rsidRDefault="00917581">
    <w:pPr>
      <w:pStyle w:val="Nagwek"/>
      <w:tabs>
        <w:tab w:val="right" w:pos="9639"/>
      </w:tabs>
      <w:jc w:val="right"/>
      <w:rPr>
        <w:rFonts w:ascii="Verdana" w:hAnsi="Verdana" w:cs="Calibri"/>
        <w:i/>
        <w:sz w:val="15"/>
        <w:szCs w:val="15"/>
      </w:rPr>
    </w:pPr>
  </w:p>
  <w:p w:rsidR="00917581" w:rsidRDefault="00917581">
    <w:pPr>
      <w:pStyle w:val="Nagwek"/>
      <w:tabs>
        <w:tab w:val="right" w:pos="9639"/>
      </w:tabs>
      <w:jc w:val="right"/>
      <w:rPr>
        <w:rFonts w:ascii="Verdana" w:hAnsi="Verdana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1"/>
    <w:rsid w:val="00000894"/>
    <w:rsid w:val="0002746A"/>
    <w:rsid w:val="001D6ADA"/>
    <w:rsid w:val="00294B09"/>
    <w:rsid w:val="006802F8"/>
    <w:rsid w:val="008E0280"/>
    <w:rsid w:val="00917581"/>
    <w:rsid w:val="00AF6016"/>
    <w:rsid w:val="00B81168"/>
    <w:rsid w:val="00C9235F"/>
    <w:rsid w:val="00EE5236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4C4AF-9AA1-49D9-8247-6DE4024F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5548A"/>
  </w:style>
  <w:style w:type="character" w:customStyle="1" w:styleId="StopkaZnak">
    <w:name w:val="Stopka Znak"/>
    <w:basedOn w:val="Domylnaczcionkaakapitu"/>
    <w:link w:val="Stopka"/>
    <w:uiPriority w:val="99"/>
    <w:qFormat/>
    <w:rsid w:val="006554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3C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9413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9413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94135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77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1775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23509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1F2E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F2E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F2E7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D212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548A"/>
    <w:pPr>
      <w:tabs>
        <w:tab w:val="center" w:pos="4703"/>
        <w:tab w:val="right" w:pos="9406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5548A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3CD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9413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9413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177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toppowodzi.p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E99C17AE9F74287C819AF5CBDDA3F" ma:contentTypeVersion="9" ma:contentTypeDescription="Utwórz nowy dokument." ma:contentTypeScope="" ma:versionID="4d9d1937cd7aae82f871ec0dc15cee07">
  <xsd:schema xmlns:xsd="http://www.w3.org/2001/XMLSchema" xmlns:xs="http://www.w3.org/2001/XMLSchema" xmlns:p="http://schemas.microsoft.com/office/2006/metadata/properties" xmlns:ns2="bedd5bea-17e2-44cd-8a4f-53c90f531f58" targetNamespace="http://schemas.microsoft.com/office/2006/metadata/properties" ma:root="true" ma:fieldsID="262b5eae0dd923cafc49d2f301e24f2f" ns2:_="">
    <xsd:import namespace="bedd5bea-17e2-44cd-8a4f-53c90f531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d5bea-17e2-44cd-8a4f-53c90f531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9832-5F24-4248-91CB-CB78FEAB8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d5bea-17e2-44cd-8a4f-53c90f531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D3D56-F42E-432D-A794-74E5152E7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2D8DC7-790E-49D9-9859-8901F1435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F45F4-8C34-45E9-9F58-E15655A9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Noguès</dc:creator>
  <dc:description/>
  <cp:lastModifiedBy>AK</cp:lastModifiedBy>
  <cp:revision>2</cp:revision>
  <dcterms:created xsi:type="dcterms:W3CDTF">2021-05-12T06:57:00Z</dcterms:created>
  <dcterms:modified xsi:type="dcterms:W3CDTF">2021-05-12T06:57:00Z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0x010100960E99C17AE9F74287C819AF5CBDDA3F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